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1C7E72" w:rsidRDefault="00490E23" w:rsidP="00AF45F0">
      <w:pPr>
        <w:spacing w:after="0"/>
        <w:jc w:val="center"/>
        <w:rPr>
          <w:rFonts w:ascii="Times New Roman" w:hAnsi="Times New Roman" w:cs="Times New Roman"/>
          <w:b/>
          <w:color w:val="000000"/>
          <w:sz w:val="20"/>
          <w:szCs w:val="20"/>
        </w:rPr>
      </w:pPr>
      <w:r w:rsidRPr="001C7E72">
        <w:rPr>
          <w:rFonts w:ascii="Times New Roman" w:hAnsi="Times New Roman" w:cs="Times New Roman"/>
          <w:b/>
          <w:color w:val="000000"/>
          <w:sz w:val="20"/>
          <w:szCs w:val="20"/>
        </w:rPr>
        <w:t>FICHE DE DONNÉES DE SÉCURITÉ (FDS)</w:t>
      </w:r>
    </w:p>
    <w:tbl>
      <w:tblPr>
        <w:tblStyle w:val="Grilledutableau"/>
        <w:tblW w:w="0" w:type="auto"/>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1C7E72" w:rsidTr="00AF45F0">
        <w:tc>
          <w:tcPr>
            <w:tcW w:w="10790" w:type="dxa"/>
            <w:gridSpan w:val="10"/>
            <w:shd w:val="clear" w:color="auto" w:fill="D9D9D9" w:themeFill="background1" w:themeFillShade="D9"/>
          </w:tcPr>
          <w:p w:rsidR="004C2D25" w:rsidRPr="001C7E72" w:rsidRDefault="004C2D25" w:rsidP="00AF45F0">
            <w:pPr>
              <w:jc w:val="center"/>
              <w:rPr>
                <w:rFonts w:ascii="Times New Roman" w:hAnsi="Times New Roman" w:cs="Times New Roman"/>
                <w:b/>
                <w:sz w:val="20"/>
                <w:szCs w:val="20"/>
              </w:rPr>
            </w:pPr>
            <w:r w:rsidRPr="001C7E72">
              <w:rPr>
                <w:rFonts w:ascii="Times New Roman" w:hAnsi="Times New Roman" w:cs="Times New Roman"/>
                <w:b/>
                <w:sz w:val="20"/>
                <w:szCs w:val="20"/>
              </w:rPr>
              <w:t xml:space="preserve">Section 1. </w:t>
            </w:r>
            <w:r w:rsidRPr="001C7E72">
              <w:rPr>
                <w:rFonts w:ascii="Times New Roman" w:hAnsi="Times New Roman" w:cs="Times New Roman"/>
                <w:b/>
                <w:color w:val="000000"/>
                <w:sz w:val="20"/>
                <w:szCs w:val="20"/>
              </w:rPr>
              <w:t>Identification</w:t>
            </w:r>
          </w:p>
        </w:tc>
      </w:tr>
      <w:tr w:rsidR="00BE402C" w:rsidRPr="001C7E72" w:rsidTr="004F46CA">
        <w:tc>
          <w:tcPr>
            <w:tcW w:w="3182" w:type="dxa"/>
            <w:gridSpan w:val="3"/>
          </w:tcPr>
          <w:p w:rsidR="00BE402C" w:rsidRPr="001C7E72" w:rsidRDefault="00BE402C" w:rsidP="00BE402C">
            <w:pPr>
              <w:autoSpaceDE w:val="0"/>
              <w:autoSpaceDN w:val="0"/>
              <w:adjustRightInd w:val="0"/>
              <w:jc w:val="both"/>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Identificateur de produit</w:t>
            </w:r>
          </w:p>
        </w:tc>
        <w:tc>
          <w:tcPr>
            <w:tcW w:w="7608" w:type="dxa"/>
            <w:gridSpan w:val="7"/>
          </w:tcPr>
          <w:p w:rsidR="00BE402C" w:rsidRPr="001C7E72" w:rsidRDefault="00CC0B10" w:rsidP="00BE402C">
            <w:pPr>
              <w:rPr>
                <w:rFonts w:ascii="Times New Roman" w:hAnsi="Times New Roman" w:cs="Times New Roman"/>
                <w:sz w:val="18"/>
                <w:szCs w:val="18"/>
                <w:lang w:val="en-CA"/>
              </w:rPr>
            </w:pPr>
            <w:r w:rsidRPr="001C7E72">
              <w:rPr>
                <w:rFonts w:ascii="Times New Roman" w:hAnsi="Times New Roman" w:cs="Times New Roman"/>
                <w:sz w:val="18"/>
                <w:szCs w:val="18"/>
                <w:lang w:val="en-CA"/>
              </w:rPr>
              <w:t>VERSATILE</w:t>
            </w:r>
          </w:p>
        </w:tc>
      </w:tr>
      <w:tr w:rsidR="00153577" w:rsidRPr="001C7E72" w:rsidTr="004F46CA">
        <w:tc>
          <w:tcPr>
            <w:tcW w:w="3182" w:type="dxa"/>
            <w:gridSpan w:val="3"/>
          </w:tcPr>
          <w:p w:rsidR="00153577" w:rsidRPr="001C7E72" w:rsidRDefault="00153577" w:rsidP="00153577">
            <w:pPr>
              <w:autoSpaceDE w:val="0"/>
              <w:autoSpaceDN w:val="0"/>
              <w:adjustRightInd w:val="0"/>
              <w:jc w:val="both"/>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Autres moyens d’identification</w:t>
            </w:r>
          </w:p>
        </w:tc>
        <w:tc>
          <w:tcPr>
            <w:tcW w:w="7608" w:type="dxa"/>
            <w:gridSpan w:val="7"/>
          </w:tcPr>
          <w:p w:rsidR="00153577" w:rsidRPr="001C7E72" w:rsidRDefault="0024331D" w:rsidP="00153577">
            <w:pPr>
              <w:pStyle w:val="Pieddepage"/>
              <w:tabs>
                <w:tab w:val="left" w:pos="708"/>
              </w:tabs>
              <w:rPr>
                <w:rFonts w:ascii="Times New Roman" w:hAnsi="Times New Roman" w:cs="Times New Roman"/>
                <w:sz w:val="18"/>
                <w:szCs w:val="18"/>
                <w:lang w:val="en-CA"/>
              </w:rPr>
            </w:pPr>
            <w:r w:rsidRPr="001C7E72">
              <w:rPr>
                <w:rFonts w:ascii="Times New Roman" w:hAnsi="Times New Roman" w:cs="Times New Roman"/>
                <w:sz w:val="18"/>
                <w:szCs w:val="18"/>
                <w:lang w:val="en-CA"/>
              </w:rPr>
              <w:t xml:space="preserve">Aucun </w:t>
            </w:r>
          </w:p>
        </w:tc>
      </w:tr>
      <w:tr w:rsidR="00153577" w:rsidRPr="001C7E72" w:rsidTr="00242A25">
        <w:tc>
          <w:tcPr>
            <w:tcW w:w="3823" w:type="dxa"/>
            <w:gridSpan w:val="4"/>
          </w:tcPr>
          <w:p w:rsidR="00153577" w:rsidRPr="001C7E72" w:rsidRDefault="00153577" w:rsidP="00153577">
            <w:pPr>
              <w:autoSpaceDE w:val="0"/>
              <w:autoSpaceDN w:val="0"/>
              <w:adjustRightInd w:val="0"/>
              <w:jc w:val="both"/>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Usage recommandé et restrictions d’utilisation</w:t>
            </w:r>
          </w:p>
        </w:tc>
        <w:tc>
          <w:tcPr>
            <w:tcW w:w="6967" w:type="dxa"/>
            <w:gridSpan w:val="6"/>
          </w:tcPr>
          <w:p w:rsidR="00153577" w:rsidRPr="001C7E72" w:rsidRDefault="004E0DE4" w:rsidP="00153577">
            <w:pPr>
              <w:pStyle w:val="Pieddepage"/>
              <w:tabs>
                <w:tab w:val="left" w:pos="708"/>
              </w:tabs>
              <w:outlineLvl w:val="0"/>
              <w:rPr>
                <w:rFonts w:ascii="Times New Roman" w:hAnsi="Times New Roman" w:cs="Times New Roman"/>
                <w:sz w:val="18"/>
                <w:szCs w:val="18"/>
              </w:rPr>
            </w:pPr>
            <w:r w:rsidRPr="001C7E72">
              <w:rPr>
                <w:rFonts w:ascii="Times New Roman" w:hAnsi="Times New Roman" w:cs="Times New Roman"/>
                <w:sz w:val="18"/>
                <w:szCs w:val="18"/>
                <w:lang w:val="fr-FR"/>
              </w:rPr>
              <w:t>Nettoyant</w:t>
            </w:r>
            <w:r w:rsidR="005C2CB1" w:rsidRPr="001C7E72">
              <w:rPr>
                <w:rFonts w:ascii="Times New Roman" w:hAnsi="Times New Roman" w:cs="Times New Roman"/>
                <w:sz w:val="18"/>
                <w:szCs w:val="18"/>
                <w:lang w:val="fr-FR"/>
              </w:rPr>
              <w:t xml:space="preserve"> neutre à plancher</w:t>
            </w:r>
          </w:p>
        </w:tc>
      </w:tr>
      <w:tr w:rsidR="00A120E1" w:rsidRPr="001C7E72" w:rsidTr="004F46CA">
        <w:tc>
          <w:tcPr>
            <w:tcW w:w="3182" w:type="dxa"/>
            <w:gridSpan w:val="3"/>
          </w:tcPr>
          <w:p w:rsidR="00A120E1" w:rsidRPr="001C7E72" w:rsidRDefault="00A120E1" w:rsidP="00A120E1">
            <w:pPr>
              <w:autoSpaceDE w:val="0"/>
              <w:autoSpaceDN w:val="0"/>
              <w:adjustRightInd w:val="0"/>
              <w:jc w:val="both"/>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Identificateur du fournisseur initial</w:t>
            </w:r>
          </w:p>
        </w:tc>
        <w:tc>
          <w:tcPr>
            <w:tcW w:w="7608" w:type="dxa"/>
            <w:gridSpan w:val="7"/>
          </w:tcPr>
          <w:p w:rsidR="00A120E1" w:rsidRPr="001C7E72" w:rsidRDefault="00A120E1" w:rsidP="00A120E1">
            <w:pPr>
              <w:rPr>
                <w:rFonts w:ascii="Times New Roman" w:hAnsi="Times New Roman" w:cs="Times New Roman"/>
                <w:sz w:val="18"/>
                <w:szCs w:val="18"/>
                <w:lang w:val="en-GB"/>
              </w:rPr>
            </w:pPr>
            <w:r w:rsidRPr="001C7E72">
              <w:rPr>
                <w:rFonts w:ascii="Times New Roman" w:hAnsi="Times New Roman" w:cs="Times New Roman"/>
                <w:sz w:val="18"/>
                <w:szCs w:val="18"/>
                <w:lang w:val="en-GB" w:eastAsia="fr-FR"/>
              </w:rPr>
              <w:t>V-TO Inc., 2975 Nelson, Saint-Hyacinthe, QC J2S 1Y5, Tél: (450) 774-6849</w:t>
            </w:r>
          </w:p>
        </w:tc>
      </w:tr>
      <w:tr w:rsidR="00F1700B" w:rsidRPr="001C7E72" w:rsidTr="00242A25">
        <w:tc>
          <w:tcPr>
            <w:tcW w:w="5059" w:type="dxa"/>
            <w:gridSpan w:val="6"/>
          </w:tcPr>
          <w:p w:rsidR="00F1700B" w:rsidRPr="001C7E72" w:rsidRDefault="00F1700B" w:rsidP="00F1700B">
            <w:pPr>
              <w:rPr>
                <w:rFonts w:ascii="Times New Roman" w:hAnsi="Times New Roman" w:cs="Times New Roman"/>
                <w:b/>
                <w:sz w:val="18"/>
                <w:szCs w:val="18"/>
              </w:rPr>
            </w:pPr>
            <w:r w:rsidRPr="001C7E72">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1C7E72" w:rsidRDefault="00E92B5C" w:rsidP="00F1700B">
            <w:pPr>
              <w:rPr>
                <w:rFonts w:ascii="Times New Roman" w:hAnsi="Times New Roman" w:cs="Times New Roman"/>
                <w:sz w:val="18"/>
                <w:szCs w:val="18"/>
              </w:rPr>
            </w:pPr>
            <w:r w:rsidRPr="001C7E72">
              <w:rPr>
                <w:rFonts w:ascii="Times New Roman" w:hAnsi="Times New Roman" w:cs="Times New Roman"/>
                <w:sz w:val="18"/>
                <w:szCs w:val="18"/>
              </w:rPr>
              <w:t>Canada – CANUTEC Numéro 24 heures 613-996-6666</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Pr="001C7E72" w:rsidRDefault="005C2CB1">
            <w:pPr>
              <w:jc w:val="center"/>
              <w:rPr>
                <w:rFonts w:ascii="Times New Roman" w:hAnsi="Times New Roman" w:cs="Times New Roman"/>
                <w:b/>
                <w:sz w:val="20"/>
                <w:szCs w:val="20"/>
              </w:rPr>
            </w:pPr>
            <w:r w:rsidRPr="001C7E72">
              <w:rPr>
                <w:rFonts w:ascii="Times New Roman" w:hAnsi="Times New Roman" w:cs="Times New Roman"/>
                <w:b/>
                <w:sz w:val="20"/>
                <w:szCs w:val="20"/>
              </w:rPr>
              <w:t xml:space="preserve">Section 2. </w:t>
            </w:r>
            <w:r w:rsidRPr="001C7E72">
              <w:rPr>
                <w:rFonts w:ascii="Times New Roman" w:hAnsi="Times New Roman" w:cs="Times New Roman"/>
                <w:b/>
                <w:color w:val="000000"/>
                <w:sz w:val="20"/>
                <w:szCs w:val="20"/>
              </w:rPr>
              <w:t>Identification des dangers</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color w:val="000000"/>
                <w:sz w:val="18"/>
                <w:szCs w:val="18"/>
              </w:rPr>
            </w:pPr>
            <w:r w:rsidRPr="001C7E72">
              <w:rPr>
                <w:rFonts w:ascii="Times New Roman" w:hAnsi="Times New Roman" w:cs="Times New Roman"/>
                <w:b/>
                <w:color w:val="000000"/>
                <w:sz w:val="18"/>
                <w:szCs w:val="18"/>
              </w:rPr>
              <w:t>Classification du produit dangereux (nom de la catégorie ou de la sous-catégorie de la classe de danger)</w:t>
            </w:r>
            <w:r w:rsidRPr="001C7E72">
              <w:rPr>
                <w:rFonts w:ascii="Times New Roman" w:hAnsi="Times New Roman" w:cs="Times New Roman"/>
                <w:color w:val="000000"/>
                <w:sz w:val="18"/>
                <w:szCs w:val="18"/>
              </w:rPr>
              <w:t xml:space="preserve"> </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rPr>
                <w:rFonts w:ascii="Times New Roman" w:hAnsi="Times New Roman" w:cs="Times New Roman"/>
                <w:sz w:val="18"/>
                <w:szCs w:val="18"/>
              </w:rPr>
            </w:pPr>
            <w:r w:rsidRPr="001C7E72">
              <w:rPr>
                <w:rFonts w:ascii="Times New Roman" w:hAnsi="Times New Roman" w:cs="Times New Roman"/>
                <w:sz w:val="18"/>
                <w:szCs w:val="18"/>
              </w:rPr>
              <w:t>Aucune</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sz w:val="18"/>
                <w:szCs w:val="18"/>
              </w:rPr>
            </w:pPr>
            <w:r w:rsidRPr="001C7E72">
              <w:rPr>
                <w:rFonts w:ascii="Times New Roman" w:hAnsi="Times New Roman" w:cs="Times New Roman"/>
                <w:b/>
                <w:color w:val="000000"/>
                <w:sz w:val="18"/>
                <w:szCs w:val="18"/>
              </w:rPr>
              <w:t>Éléments d’information</w:t>
            </w:r>
            <w:r w:rsidRPr="001C7E72">
              <w:rPr>
                <w:rFonts w:ascii="Times New Roman" w:hAnsi="Times New Roman" w:cs="Times New Roman"/>
                <w:color w:val="000000"/>
                <w:sz w:val="18"/>
                <w:szCs w:val="18"/>
              </w:rPr>
              <w:t xml:space="preserve"> (</w:t>
            </w:r>
            <w:r w:rsidRPr="001C7E72">
              <w:rPr>
                <w:rFonts w:ascii="Times New Roman" w:hAnsi="Times New Roman" w:cs="Times New Roman"/>
                <w:b/>
                <w:color w:val="000000"/>
                <w:sz w:val="18"/>
                <w:szCs w:val="18"/>
              </w:rPr>
              <w:t>symboles, mentions d’avertissement, mentions de danger et conseils de prudence des catégories/sous-catégories)</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sz w:val="18"/>
                <w:szCs w:val="18"/>
              </w:rPr>
            </w:pPr>
            <w:r w:rsidRPr="001C7E72">
              <w:rPr>
                <w:rFonts w:ascii="Times New Roman" w:hAnsi="Times New Roman" w:cs="Times New Roman"/>
                <w:sz w:val="18"/>
                <w:szCs w:val="18"/>
              </w:rPr>
              <w:t>Aucun</w:t>
            </w:r>
          </w:p>
        </w:tc>
      </w:tr>
      <w:tr w:rsidR="005C2CB1" w:rsidRPr="001C7E72" w:rsidTr="005C2CB1">
        <w:tc>
          <w:tcPr>
            <w:tcW w:w="2321" w:type="dxa"/>
            <w:gridSpan w:val="2"/>
            <w:tcBorders>
              <w:top w:val="single" w:sz="4" w:space="0" w:color="auto"/>
              <w:left w:val="single" w:sz="4" w:space="0" w:color="auto"/>
              <w:bottom w:val="single" w:sz="4" w:space="0" w:color="auto"/>
              <w:right w:val="single" w:sz="4" w:space="0" w:color="auto"/>
            </w:tcBorders>
            <w:hideMark/>
          </w:tcPr>
          <w:p w:rsidR="005C2CB1" w:rsidRPr="001C7E72" w:rsidRDefault="005C2CB1">
            <w:pPr>
              <w:rPr>
                <w:rFonts w:ascii="Times New Roman" w:hAnsi="Times New Roman" w:cs="Times New Roman"/>
                <w:sz w:val="18"/>
                <w:szCs w:val="18"/>
              </w:rPr>
            </w:pPr>
            <w:r w:rsidRPr="001C7E72">
              <w:rPr>
                <w:rFonts w:ascii="Times New Roman" w:hAnsi="Times New Roman" w:cs="Times New Roman"/>
                <w:b/>
                <w:color w:val="000000"/>
                <w:sz w:val="18"/>
                <w:szCs w:val="18"/>
              </w:rPr>
              <w:t>Autres dangers connus</w:t>
            </w:r>
          </w:p>
        </w:tc>
        <w:tc>
          <w:tcPr>
            <w:tcW w:w="8469" w:type="dxa"/>
            <w:gridSpan w:val="8"/>
            <w:tcBorders>
              <w:top w:val="single" w:sz="4" w:space="0" w:color="auto"/>
              <w:left w:val="single" w:sz="4" w:space="0" w:color="auto"/>
              <w:bottom w:val="single" w:sz="4" w:space="0" w:color="auto"/>
              <w:right w:val="single" w:sz="4" w:space="0" w:color="auto"/>
            </w:tcBorders>
            <w:hideMark/>
          </w:tcPr>
          <w:p w:rsidR="005C2CB1" w:rsidRPr="001C7E72" w:rsidRDefault="005C2CB1">
            <w:pPr>
              <w:rPr>
                <w:rFonts w:ascii="Times New Roman" w:hAnsi="Times New Roman" w:cs="Times New Roman"/>
                <w:sz w:val="18"/>
                <w:szCs w:val="18"/>
              </w:rPr>
            </w:pPr>
            <w:r w:rsidRPr="001C7E72">
              <w:rPr>
                <w:rFonts w:ascii="Times New Roman" w:hAnsi="Times New Roman" w:cs="Times New Roman"/>
                <w:sz w:val="18"/>
                <w:szCs w:val="18"/>
              </w:rPr>
              <w:t>Aucun</w:t>
            </w:r>
          </w:p>
        </w:tc>
      </w:tr>
      <w:tr w:rsidR="005C2CB1" w:rsidRPr="001C7E72"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Pr="001C7E72" w:rsidRDefault="005C2CB1">
            <w:pPr>
              <w:jc w:val="center"/>
              <w:rPr>
                <w:rFonts w:ascii="Times New Roman" w:hAnsi="Times New Roman" w:cs="Times New Roman"/>
                <w:b/>
                <w:sz w:val="20"/>
                <w:szCs w:val="20"/>
              </w:rPr>
            </w:pPr>
            <w:r w:rsidRPr="001C7E72">
              <w:rPr>
                <w:rFonts w:ascii="Times New Roman" w:hAnsi="Times New Roman" w:cs="Times New Roman"/>
                <w:b/>
                <w:sz w:val="20"/>
                <w:szCs w:val="20"/>
              </w:rPr>
              <w:t xml:space="preserve">Section 3. </w:t>
            </w:r>
            <w:r w:rsidRPr="001C7E72">
              <w:rPr>
                <w:rFonts w:ascii="Times New Roman" w:hAnsi="Times New Roman" w:cs="Times New Roman"/>
                <w:b/>
                <w:color w:val="000000"/>
                <w:sz w:val="20"/>
                <w:szCs w:val="20"/>
              </w:rPr>
              <w:t>Composition/information sur les ingrédients</w:t>
            </w:r>
          </w:p>
        </w:tc>
      </w:tr>
      <w:tr w:rsidR="005C2CB1" w:rsidRPr="001C7E72"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 xml:space="preserve">Dénomination chimique (nom commun/synonymes) </w:t>
            </w:r>
          </w:p>
        </w:tc>
        <w:tc>
          <w:tcPr>
            <w:tcW w:w="2654" w:type="dxa"/>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center"/>
              <w:rPr>
                <w:rFonts w:ascii="Times New Roman" w:hAnsi="Times New Roman" w:cs="Times New Roman"/>
                <w:b/>
                <w:color w:val="000000"/>
                <w:sz w:val="18"/>
                <w:szCs w:val="18"/>
              </w:rPr>
            </w:pPr>
            <w:r w:rsidRPr="001C7E72">
              <w:rPr>
                <w:rFonts w:ascii="Times New Roman" w:hAnsi="Times New Roman" w:cs="Times New Roman"/>
                <w:b/>
                <w:color w:val="000000"/>
                <w:sz w:val="18"/>
                <w:szCs w:val="18"/>
              </w:rPr>
              <w:t>Numéro CAS ou autre</w:t>
            </w:r>
          </w:p>
        </w:tc>
        <w:tc>
          <w:tcPr>
            <w:tcW w:w="2378" w:type="dxa"/>
            <w:tcBorders>
              <w:top w:val="single" w:sz="4" w:space="0" w:color="auto"/>
              <w:left w:val="single" w:sz="4" w:space="0" w:color="auto"/>
              <w:bottom w:val="single" w:sz="4" w:space="0" w:color="auto"/>
              <w:right w:val="single" w:sz="4" w:space="0" w:color="auto"/>
            </w:tcBorders>
            <w:hideMark/>
          </w:tcPr>
          <w:p w:rsidR="005C2CB1" w:rsidRPr="001C7E72" w:rsidRDefault="005C2CB1">
            <w:pPr>
              <w:jc w:val="center"/>
              <w:rPr>
                <w:rFonts w:ascii="Times New Roman" w:hAnsi="Times New Roman" w:cs="Times New Roman"/>
                <w:b/>
                <w:sz w:val="18"/>
                <w:szCs w:val="18"/>
              </w:rPr>
            </w:pPr>
            <w:r w:rsidRPr="001C7E72">
              <w:rPr>
                <w:rFonts w:ascii="Times New Roman" w:hAnsi="Times New Roman" w:cs="Times New Roman"/>
                <w:b/>
                <w:sz w:val="18"/>
                <w:szCs w:val="18"/>
              </w:rPr>
              <w:t>Concentration (%)</w:t>
            </w:r>
          </w:p>
        </w:tc>
      </w:tr>
      <w:tr w:rsidR="005C2CB1"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Pr="001C7E72" w:rsidRDefault="005C2CB1">
            <w:pPr>
              <w:rPr>
                <w:rFonts w:ascii="Times New Roman" w:hAnsi="Times New Roman" w:cs="Times New Roman"/>
                <w:sz w:val="18"/>
                <w:szCs w:val="18"/>
                <w:lang w:val="en-CA"/>
              </w:rPr>
            </w:pPr>
            <w:r w:rsidRPr="001C7E72">
              <w:rPr>
                <w:rFonts w:ascii="Times New Roman" w:hAnsi="Times New Roman" w:cs="Times New Roman"/>
                <w:sz w:val="18"/>
                <w:szCs w:val="18"/>
              </w:rPr>
              <w:t>Aucun</w:t>
            </w:r>
          </w:p>
        </w:tc>
        <w:tc>
          <w:tcPr>
            <w:tcW w:w="2654" w:type="dxa"/>
            <w:tcBorders>
              <w:top w:val="single" w:sz="4" w:space="0" w:color="auto"/>
              <w:left w:val="single" w:sz="4" w:space="0" w:color="auto"/>
              <w:bottom w:val="single" w:sz="4" w:space="0" w:color="auto"/>
              <w:right w:val="single" w:sz="4" w:space="0" w:color="auto"/>
            </w:tcBorders>
            <w:hideMark/>
          </w:tcPr>
          <w:p w:rsidR="005C2CB1" w:rsidRPr="001C7E72" w:rsidRDefault="005C2CB1">
            <w:pPr>
              <w:jc w:val="center"/>
              <w:rPr>
                <w:rFonts w:ascii="Times New Roman" w:hAnsi="Times New Roman" w:cs="Times New Roman"/>
                <w:sz w:val="18"/>
                <w:szCs w:val="18"/>
                <w:lang w:val="en-CA"/>
              </w:rPr>
            </w:pPr>
            <w:r w:rsidRPr="001C7E72">
              <w:rPr>
                <w:rFonts w:ascii="Times New Roman" w:hAnsi="Times New Roman" w:cs="Times New Roman"/>
                <w:sz w:val="18"/>
                <w:szCs w:val="18"/>
                <w:lang w:val="en-CA"/>
              </w:rPr>
              <w:t>---</w:t>
            </w:r>
          </w:p>
        </w:tc>
        <w:tc>
          <w:tcPr>
            <w:tcW w:w="2378" w:type="dxa"/>
            <w:tcBorders>
              <w:top w:val="single" w:sz="4" w:space="0" w:color="auto"/>
              <w:left w:val="single" w:sz="4" w:space="0" w:color="auto"/>
              <w:bottom w:val="single" w:sz="4" w:space="0" w:color="auto"/>
              <w:right w:val="single" w:sz="4" w:space="0" w:color="auto"/>
            </w:tcBorders>
            <w:hideMark/>
          </w:tcPr>
          <w:p w:rsidR="005C2CB1" w:rsidRDefault="005C2CB1">
            <w:pPr>
              <w:tabs>
                <w:tab w:val="left" w:pos="3240"/>
                <w:tab w:val="left" w:pos="5760"/>
                <w:tab w:val="left" w:pos="7920"/>
              </w:tabs>
              <w:jc w:val="center"/>
              <w:rPr>
                <w:rFonts w:ascii="Times New Roman" w:hAnsi="Times New Roman" w:cs="Times New Roman"/>
                <w:sz w:val="18"/>
                <w:szCs w:val="18"/>
                <w:lang w:val="en-GB"/>
              </w:rPr>
            </w:pPr>
            <w:r w:rsidRPr="001C7E72">
              <w:rPr>
                <w:rFonts w:ascii="Times New Roman" w:hAnsi="Times New Roman" w:cs="Times New Roman"/>
                <w:sz w:val="18"/>
                <w:szCs w:val="18"/>
                <w:lang w:val="en-GB"/>
              </w:rPr>
              <w: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4. </w:t>
            </w:r>
            <w:r>
              <w:rPr>
                <w:rFonts w:ascii="Times New Roman" w:hAnsi="Times New Roman" w:cs="Times New Roman"/>
                <w:b/>
                <w:color w:val="000000"/>
                <w:sz w:val="20"/>
                <w:szCs w:val="20"/>
              </w:rPr>
              <w:t>Premiers soins</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Inhalation</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caps/>
                <w:sz w:val="18"/>
                <w:szCs w:val="18"/>
              </w:rPr>
              <w:t xml:space="preserve">EN CAS D’INHALATION: </w:t>
            </w:r>
            <w:r>
              <w:rPr>
                <w:rFonts w:ascii="Times New Roman" w:hAnsi="Times New Roman" w:cs="Times New Roman"/>
                <w:sz w:val="18"/>
                <w:szCs w:val="18"/>
              </w:rPr>
              <w:t>Transporter la personne à l’extérieur et la maintenir dans une position où elle peut confortablement respirer. Appeler immédiatement un médecin.</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Voie orale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EN CAS D’INGESTION: Rincer la bouche. Ne PAS faire vomir. 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 Appeler un médecin en cas de malaise.</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 xml:space="preserve">cutanée </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oculaire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4815"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Symptômes et effets les plus importants (aigus ou retardés)</w:t>
            </w:r>
          </w:p>
        </w:tc>
        <w:tc>
          <w:tcPr>
            <w:tcW w:w="5975" w:type="dxa"/>
            <w:gridSpan w:val="5"/>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Aucun </w:t>
            </w:r>
          </w:p>
        </w:tc>
      </w:tr>
      <w:tr w:rsidR="005C2CB1" w:rsidTr="005C2CB1">
        <w:tc>
          <w:tcPr>
            <w:tcW w:w="5382"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Mention de prise en charge médicale immédiate/traitement spécial</w:t>
            </w:r>
          </w:p>
        </w:tc>
        <w:tc>
          <w:tcPr>
            <w:tcW w:w="5408"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Dans tous ces cas, consulter un médecin. N’oubliez pas ce document.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5. </w:t>
            </w:r>
            <w:r>
              <w:rPr>
                <w:rFonts w:ascii="Times New Roman" w:hAnsi="Times New Roman" w:cs="Times New Roman"/>
                <w:b/>
                <w:color w:val="000000"/>
                <w:sz w:val="20"/>
                <w:szCs w:val="20"/>
              </w:rPr>
              <w:t>Mesures à prendre en cas d’incendie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Dangers spécifiques du produit dangereux (produits de combustion dangereux)</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Oxydes de carbone et autres gaz et fumées irritants/toxiques.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Agents extincteurs appropriés et inappropriés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En cas d’incendie: Utiliser dioxyde de carbone, agent chimique en poudre, et mousse adéquate pour l’extinction des produits environnants.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Équipements de protection spéciaux et précautions spéciales pour les pompiers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Pr>
                <w:rFonts w:ascii="Times New Roman" w:hAnsi="Times New Roman" w:cs="Times New Roman"/>
                <w:sz w:val="18"/>
                <w:szCs w:val="18"/>
              </w:rPr>
              <w:t>utilisation de l’eau peut être utile pour refroidir les contenants exposés à la chaleur et aux flammes.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6. </w:t>
            </w:r>
            <w:r>
              <w:rPr>
                <w:rFonts w:ascii="Times New Roman" w:hAnsi="Times New Roman" w:cs="Times New Roman"/>
                <w:b/>
                <w:color w:val="000000"/>
                <w:sz w:val="20"/>
                <w:szCs w:val="20"/>
              </w:rPr>
              <w:t>Mesures à prendre en cas de déversement accidentel</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Précautions individuelles, équipements de protection et mesures d’urgence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Restreindre l’accès jusqu’à ce que le nettoyage soit terminé. Assurez-vous que le nettoyage est effectué par un personnel qualifié. </w:t>
            </w:r>
            <w:r>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Méthodes et matériaux pour le confinement et le nettoyage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pacing w:val="-2"/>
                <w:sz w:val="18"/>
                <w:szCs w:val="18"/>
                <w:lang w:val="fr-FR"/>
              </w:rPr>
              <w:t xml:space="preserve">Ventiler les lieux du déversement. </w:t>
            </w:r>
            <w:r>
              <w:rPr>
                <w:rFonts w:ascii="Times New Roman" w:hAnsi="Times New Roman" w:cs="Times New Roman"/>
                <w:sz w:val="18"/>
                <w:szCs w:val="18"/>
              </w:rPr>
              <w:t xml:space="preserve">Arrêter l’écoulement si cela peut être fait en toute sécurité. </w:t>
            </w:r>
            <w:r>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Pr>
                <w:rFonts w:ascii="Times New Roman" w:hAnsi="Times New Roman" w:cs="Times New Roman"/>
                <w:sz w:val="18"/>
                <w:szCs w:val="18"/>
              </w:rPr>
              <w:t xml:space="preserve">  </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7. </w:t>
            </w:r>
            <w:r>
              <w:rPr>
                <w:rFonts w:ascii="Times New Roman" w:hAnsi="Times New Roman" w:cs="Times New Roman"/>
                <w:b/>
                <w:color w:val="000000"/>
                <w:sz w:val="20"/>
                <w:szCs w:val="20"/>
              </w:rPr>
              <w:t>Manutention et stockage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Précautions relatives à la sûreté en matière de manutention</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Porter des gants de protection/ des vêtements de protection/ un équipement de protection des yeux/ du visage. </w:t>
            </w:r>
          </w:p>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Pr>
                <w:rFonts w:ascii="Times New Roman" w:hAnsi="Times New Roman" w:cs="Times New Roman"/>
                <w:sz w:val="18"/>
                <w:szCs w:val="18"/>
              </w:rPr>
              <w:t>Garder les contenants bien fermés lorsqu’ils ne sont pas utilisés. Les contenants vides sont toujours dangereux. Voir aussi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Conditions de sûreté en matière de stockage, y compris les incompatibilités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bl>
    <w:p w:rsidR="005C2CB1" w:rsidRDefault="005C2CB1" w:rsidP="005C2CB1"/>
    <w:tbl>
      <w:tblPr>
        <w:tblStyle w:val="Grilledutableau"/>
        <w:tblW w:w="0" w:type="auto"/>
        <w:tblLook w:val="04A0" w:firstRow="1" w:lastRow="0" w:firstColumn="1" w:lastColumn="0" w:noHBand="0" w:noVBand="1"/>
      </w:tblPr>
      <w:tblGrid>
        <w:gridCol w:w="562"/>
        <w:gridCol w:w="155"/>
        <w:gridCol w:w="529"/>
        <w:gridCol w:w="140"/>
        <w:gridCol w:w="403"/>
        <w:gridCol w:w="49"/>
        <w:gridCol w:w="483"/>
        <w:gridCol w:w="226"/>
        <w:gridCol w:w="283"/>
        <w:gridCol w:w="851"/>
        <w:gridCol w:w="1378"/>
        <w:gridCol w:w="699"/>
        <w:gridCol w:w="281"/>
        <w:gridCol w:w="674"/>
        <w:gridCol w:w="1079"/>
        <w:gridCol w:w="284"/>
        <w:gridCol w:w="2714"/>
      </w:tblGrid>
      <w:tr w:rsidR="005C2CB1"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8. </w:t>
            </w:r>
            <w:r>
              <w:rPr>
                <w:rFonts w:ascii="Times New Roman" w:hAnsi="Times New Roman" w:cs="Times New Roman"/>
                <w:b/>
                <w:color w:val="000000"/>
                <w:sz w:val="20"/>
                <w:szCs w:val="20"/>
              </w:rPr>
              <w:t>Contrôle de l’exposition/ protection individuelle</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Limites d’exposition: Aucune pour les ingrédients ou le produit.</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Contrôles d’ingénierie appropriés</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Mesures de protection individuelle/équipements de protection individuelle</w:t>
            </w:r>
          </w:p>
        </w:tc>
      </w:tr>
      <w:tr w:rsidR="005C2CB1" w:rsidRPr="001C7E72"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Pr="001C7E72" w:rsidRDefault="005C2CB1">
            <w:pPr>
              <w:jc w:val="both"/>
              <w:rPr>
                <w:rFonts w:ascii="Times New Roman" w:hAnsi="Times New Roman" w:cs="Times New Roman"/>
                <w:sz w:val="18"/>
                <w:szCs w:val="18"/>
              </w:rPr>
            </w:pPr>
            <w:r w:rsidRPr="001C7E72">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1C7E72">
              <w:rPr>
                <w:rFonts w:ascii="Times New Roman" w:hAnsi="Times New Roman" w:cs="Times New Roman"/>
                <w:sz w:val="18"/>
                <w:szCs w:val="18"/>
              </w:rPr>
              <w:t>antiéclaboussures</w:t>
            </w:r>
            <w:proofErr w:type="spellEnd"/>
            <w:r w:rsidRPr="001C7E72">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5C2CB1" w:rsidRPr="001C7E72"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Pr="001C7E72" w:rsidRDefault="005C2CB1">
            <w:pPr>
              <w:jc w:val="center"/>
              <w:rPr>
                <w:rFonts w:ascii="Times New Roman" w:hAnsi="Times New Roman" w:cs="Times New Roman"/>
                <w:b/>
                <w:sz w:val="20"/>
                <w:szCs w:val="20"/>
              </w:rPr>
            </w:pPr>
            <w:r w:rsidRPr="001C7E72">
              <w:rPr>
                <w:rFonts w:ascii="Times New Roman" w:hAnsi="Times New Roman" w:cs="Times New Roman"/>
                <w:b/>
                <w:sz w:val="20"/>
                <w:szCs w:val="20"/>
              </w:rPr>
              <w:t xml:space="preserve">Section 9. </w:t>
            </w:r>
            <w:r w:rsidRPr="001C7E72">
              <w:rPr>
                <w:rFonts w:ascii="Times New Roman" w:hAnsi="Times New Roman" w:cs="Times New Roman"/>
                <w:b/>
                <w:color w:val="000000"/>
                <w:sz w:val="20"/>
                <w:szCs w:val="20"/>
              </w:rPr>
              <w:t>Propriétés physiques et chimiques</w:t>
            </w:r>
          </w:p>
        </w:tc>
      </w:tr>
      <w:tr w:rsidR="005C2CB1" w:rsidRPr="001C7E72" w:rsidTr="005C2CB1">
        <w:tc>
          <w:tcPr>
            <w:tcW w:w="2830" w:type="dxa"/>
            <w:gridSpan w:val="9"/>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b/>
                <w:sz w:val="18"/>
                <w:szCs w:val="18"/>
              </w:rPr>
            </w:pPr>
            <w:r w:rsidRPr="001C7E72">
              <w:rPr>
                <w:rFonts w:ascii="Times New Roman" w:hAnsi="Times New Roman" w:cs="Times New Roman"/>
                <w:b/>
                <w:iCs/>
                <w:color w:val="000000"/>
                <w:sz w:val="18"/>
                <w:szCs w:val="18"/>
              </w:rPr>
              <w:t>Apparence, état physique/couleur</w:t>
            </w:r>
          </w:p>
        </w:tc>
        <w:tc>
          <w:tcPr>
            <w:tcW w:w="2229" w:type="dxa"/>
            <w:gridSpan w:val="2"/>
            <w:tcBorders>
              <w:top w:val="single" w:sz="4" w:space="0" w:color="auto"/>
              <w:left w:val="single" w:sz="4" w:space="0" w:color="auto"/>
              <w:bottom w:val="single" w:sz="4" w:space="0" w:color="auto"/>
              <w:right w:val="single" w:sz="4" w:space="0" w:color="auto"/>
            </w:tcBorders>
            <w:hideMark/>
          </w:tcPr>
          <w:p w:rsidR="005C2CB1" w:rsidRPr="001C7E72" w:rsidRDefault="005C2CB1" w:rsidP="009F242A">
            <w:pPr>
              <w:rPr>
                <w:rFonts w:ascii="Times New Roman" w:hAnsi="Times New Roman" w:cs="Times New Roman"/>
                <w:sz w:val="18"/>
                <w:szCs w:val="18"/>
              </w:rPr>
            </w:pPr>
            <w:r w:rsidRPr="001C7E72">
              <w:rPr>
                <w:rFonts w:ascii="Times New Roman" w:hAnsi="Times New Roman" w:cs="Times New Roman"/>
                <w:sz w:val="18"/>
                <w:szCs w:val="18"/>
              </w:rPr>
              <w:t>Liquide</w:t>
            </w:r>
            <w:r w:rsidR="0068281F" w:rsidRPr="001C7E72">
              <w:rPr>
                <w:rFonts w:ascii="Times New Roman" w:hAnsi="Times New Roman" w:cs="Times New Roman"/>
                <w:sz w:val="18"/>
                <w:szCs w:val="18"/>
              </w:rPr>
              <w:t xml:space="preserve"> rose</w:t>
            </w:r>
            <w:r w:rsidR="00EB3CEA" w:rsidRPr="001C7E72">
              <w:rPr>
                <w:rFonts w:ascii="Times New Roman" w:hAnsi="Times New Roman" w:cs="Times New Roman"/>
                <w:sz w:val="18"/>
                <w:szCs w:val="18"/>
              </w:rPr>
              <w:t xml:space="preserve"> clair</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Tension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Pr="001C7E72" w:rsidRDefault="005C2CB1">
            <w:pPr>
              <w:rPr>
                <w:rFonts w:ascii="Times New Roman" w:hAnsi="Times New Roman" w:cs="Times New Roman"/>
                <w:sz w:val="18"/>
                <w:szCs w:val="18"/>
              </w:rPr>
            </w:pPr>
            <w:r w:rsidRPr="001C7E72">
              <w:rPr>
                <w:rFonts w:ascii="Times New Roman" w:hAnsi="Times New Roman" w:cs="Times New Roman"/>
                <w:sz w:val="18"/>
                <w:szCs w:val="18"/>
              </w:rPr>
              <w:t>Non disponible</w:t>
            </w:r>
          </w:p>
        </w:tc>
      </w:tr>
      <w:tr w:rsidR="005C2CB1" w:rsidRPr="001C7E72" w:rsidTr="005C2CB1">
        <w:tc>
          <w:tcPr>
            <w:tcW w:w="717" w:type="dxa"/>
            <w:gridSpan w:val="2"/>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 xml:space="preserve">Odeur                                                                                                           </w:t>
            </w:r>
          </w:p>
        </w:tc>
        <w:tc>
          <w:tcPr>
            <w:tcW w:w="4342" w:type="dxa"/>
            <w:gridSpan w:val="9"/>
            <w:tcBorders>
              <w:top w:val="single" w:sz="4" w:space="0" w:color="auto"/>
              <w:left w:val="single" w:sz="4" w:space="0" w:color="auto"/>
              <w:bottom w:val="single" w:sz="4" w:space="0" w:color="auto"/>
              <w:right w:val="single" w:sz="4" w:space="0" w:color="auto"/>
            </w:tcBorders>
            <w:hideMark/>
          </w:tcPr>
          <w:p w:rsidR="005C2CB1" w:rsidRPr="001C7E72" w:rsidRDefault="0068281F">
            <w:pPr>
              <w:rPr>
                <w:rFonts w:ascii="Times New Roman" w:hAnsi="Times New Roman" w:cs="Times New Roman"/>
                <w:sz w:val="18"/>
                <w:szCs w:val="18"/>
              </w:rPr>
            </w:pPr>
            <w:r w:rsidRPr="001C7E72">
              <w:rPr>
                <w:rFonts w:ascii="Times New Roman" w:hAnsi="Times New Roman" w:cs="Times New Roman"/>
                <w:sz w:val="18"/>
                <w:szCs w:val="18"/>
              </w:rPr>
              <w:t>Fraiche</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Pr="001C7E72" w:rsidRDefault="005C2CB1">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Densité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Pr="001C7E72" w:rsidRDefault="005C2CB1">
            <w:pPr>
              <w:rPr>
                <w:rFonts w:ascii="Times New Roman" w:hAnsi="Times New Roman" w:cs="Times New Roman"/>
                <w:sz w:val="18"/>
                <w:szCs w:val="18"/>
              </w:rPr>
            </w:pPr>
            <w:r w:rsidRPr="001C7E72">
              <w:rPr>
                <w:rFonts w:ascii="Times New Roman" w:hAnsi="Times New Roman" w:cs="Times New Roman"/>
                <w:sz w:val="18"/>
                <w:szCs w:val="18"/>
              </w:rPr>
              <w:t>Non disponible</w:t>
            </w:r>
          </w:p>
        </w:tc>
      </w:tr>
      <w:tr w:rsidR="009F242A" w:rsidRPr="001C7E72" w:rsidTr="005C2CB1">
        <w:tc>
          <w:tcPr>
            <w:tcW w:w="1246" w:type="dxa"/>
            <w:gridSpan w:val="3"/>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Seuil olfactif</w:t>
            </w:r>
          </w:p>
        </w:tc>
        <w:tc>
          <w:tcPr>
            <w:tcW w:w="3813" w:type="dxa"/>
            <w:gridSpan w:val="8"/>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p>
        </w:tc>
        <w:tc>
          <w:tcPr>
            <w:tcW w:w="1654" w:type="dxa"/>
            <w:gridSpan w:val="3"/>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Densité relative</w:t>
            </w:r>
          </w:p>
        </w:tc>
        <w:tc>
          <w:tcPr>
            <w:tcW w:w="4077" w:type="dxa"/>
            <w:gridSpan w:val="3"/>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p>
        </w:tc>
      </w:tr>
      <w:tr w:rsidR="009F242A" w:rsidRPr="001C7E72" w:rsidTr="005C2CB1">
        <w:tc>
          <w:tcPr>
            <w:tcW w:w="562" w:type="dxa"/>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 xml:space="preserve">pH                                                                                                                   </w:t>
            </w:r>
          </w:p>
        </w:tc>
        <w:tc>
          <w:tcPr>
            <w:tcW w:w="4497" w:type="dxa"/>
            <w:gridSpan w:val="10"/>
            <w:tcBorders>
              <w:top w:val="single" w:sz="4" w:space="0" w:color="auto"/>
              <w:left w:val="single" w:sz="4" w:space="0" w:color="auto"/>
              <w:bottom w:val="single" w:sz="4" w:space="0" w:color="auto"/>
              <w:right w:val="single" w:sz="4" w:space="0" w:color="auto"/>
            </w:tcBorders>
            <w:hideMark/>
          </w:tcPr>
          <w:p w:rsidR="009F242A" w:rsidRPr="001C7E72" w:rsidRDefault="00EB3CEA" w:rsidP="009F242A">
            <w:pPr>
              <w:rPr>
                <w:rFonts w:ascii="Times New Roman" w:hAnsi="Times New Roman" w:cs="Times New Roman"/>
                <w:sz w:val="18"/>
                <w:szCs w:val="18"/>
              </w:rPr>
            </w:pPr>
            <w:r w:rsidRPr="001C7E72">
              <w:rPr>
                <w:rFonts w:ascii="Times New Roman" w:hAnsi="Times New Roman" w:cs="Times New Roman"/>
                <w:sz w:val="18"/>
                <w:szCs w:val="18"/>
              </w:rPr>
              <w:t>7-8</w:t>
            </w:r>
          </w:p>
        </w:tc>
        <w:tc>
          <w:tcPr>
            <w:tcW w:w="980" w:type="dxa"/>
            <w:gridSpan w:val="2"/>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Solubilité</w:t>
            </w:r>
          </w:p>
        </w:tc>
        <w:tc>
          <w:tcPr>
            <w:tcW w:w="4751" w:type="dxa"/>
            <w:gridSpan w:val="4"/>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Soluble</w:t>
            </w:r>
          </w:p>
        </w:tc>
      </w:tr>
      <w:tr w:rsidR="009F242A" w:rsidRPr="001C7E72" w:rsidTr="005C2CB1">
        <w:tc>
          <w:tcPr>
            <w:tcW w:w="2321" w:type="dxa"/>
            <w:gridSpan w:val="7"/>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 xml:space="preserve">Point de fusion/congélation                                                            </w:t>
            </w:r>
          </w:p>
        </w:tc>
        <w:tc>
          <w:tcPr>
            <w:tcW w:w="2738" w:type="dxa"/>
            <w:gridSpan w:val="4"/>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Coefficient de partage n-</w:t>
            </w:r>
            <w:proofErr w:type="spellStart"/>
            <w:r w:rsidRPr="001C7E72">
              <w:rPr>
                <w:rFonts w:ascii="Times New Roman" w:hAnsi="Times New Roman" w:cs="Times New Roman"/>
                <w:b/>
                <w:iCs/>
                <w:color w:val="000000"/>
                <w:sz w:val="18"/>
                <w:szCs w:val="18"/>
              </w:rPr>
              <w:t>octanol</w:t>
            </w:r>
            <w:proofErr w:type="spellEnd"/>
            <w:r w:rsidRPr="001C7E72">
              <w:rPr>
                <w:rFonts w:ascii="Times New Roman" w:hAnsi="Times New Roman" w:cs="Times New Roman"/>
                <w:b/>
                <w:iCs/>
                <w:color w:val="000000"/>
                <w:sz w:val="18"/>
                <w:szCs w:val="18"/>
              </w:rPr>
              <w:t>/eau</w:t>
            </w:r>
          </w:p>
        </w:tc>
        <w:tc>
          <w:tcPr>
            <w:tcW w:w="2714" w:type="dxa"/>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 xml:space="preserve">Point initial/domaine d’ébullition                                             </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Pr="001C7E72" w:rsidRDefault="009F242A" w:rsidP="009F242A">
            <w:pPr>
              <w:autoSpaceDE w:val="0"/>
              <w:autoSpaceDN w:val="0"/>
              <w:adjustRightInd w:val="0"/>
              <w:jc w:val="both"/>
              <w:rPr>
                <w:rFonts w:ascii="Times New Roman" w:hAnsi="Times New Roman" w:cs="Times New Roman"/>
                <w:b/>
                <w:iCs/>
                <w:color w:val="000000"/>
                <w:sz w:val="18"/>
                <w:szCs w:val="18"/>
              </w:rPr>
            </w:pPr>
            <w:r w:rsidRPr="001C7E72">
              <w:rPr>
                <w:rFonts w:ascii="Times New Roman" w:hAnsi="Times New Roman" w:cs="Times New Roman"/>
                <w:b/>
                <w:iCs/>
                <w:color w:val="000000"/>
                <w:sz w:val="18"/>
                <w:szCs w:val="18"/>
              </w:rPr>
              <w:t>Température d’auto-inflammation</w:t>
            </w:r>
          </w:p>
        </w:tc>
        <w:tc>
          <w:tcPr>
            <w:tcW w:w="2714"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sidRPr="001C7E72">
              <w:rPr>
                <w:rFonts w:ascii="Times New Roman" w:hAnsi="Times New Roman" w:cs="Times New Roman"/>
                <w:sz w:val="18"/>
                <w:szCs w:val="18"/>
              </w:rPr>
              <w:t>Non disponible</w:t>
            </w:r>
            <w:bookmarkStart w:id="0" w:name="_GoBack"/>
            <w:bookmarkEnd w:id="0"/>
          </w:p>
        </w:tc>
      </w:tr>
      <w:tr w:rsidR="009F242A" w:rsidTr="005C2CB1">
        <w:tc>
          <w:tcPr>
            <w:tcW w:w="1386"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Point d’éclair                                                                                                 </w:t>
            </w:r>
          </w:p>
        </w:tc>
        <w:tc>
          <w:tcPr>
            <w:tcW w:w="3673"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2733"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Température de décomposition</w:t>
            </w:r>
          </w:p>
        </w:tc>
        <w:tc>
          <w:tcPr>
            <w:tcW w:w="2998"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789"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 xml:space="preserve">Taux d’évaporation                                                                                         </w:t>
            </w:r>
          </w:p>
        </w:tc>
        <w:tc>
          <w:tcPr>
            <w:tcW w:w="3270"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980"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Viscosité</w:t>
            </w:r>
          </w:p>
        </w:tc>
        <w:tc>
          <w:tcPr>
            <w:tcW w:w="4751"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Inflammabilité (solides et gaz)</w:t>
            </w:r>
          </w:p>
        </w:tc>
        <w:tc>
          <w:tcPr>
            <w:tcW w:w="2512"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COV</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Limites supérieures et inférieures d’inflammabilité/d’explosibilité</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sz w:val="18"/>
                <w:szCs w:val="18"/>
              </w:rPr>
              <w:t>Autre</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connue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10. </w:t>
            </w:r>
            <w:r>
              <w:rPr>
                <w:rFonts w:ascii="Times New Roman" w:hAnsi="Times New Roman" w:cs="Times New Roman"/>
                <w:b/>
                <w:color w:val="000000"/>
                <w:sz w:val="20"/>
                <w:szCs w:val="20"/>
              </w:rPr>
              <w:t>Stabilité et réactivité</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Réactivité </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rPr>
              <w:t>Ne réagit pas</w:t>
            </w:r>
            <w:r>
              <w:rPr>
                <w:rFonts w:ascii="Times New Roman" w:hAnsi="Times New Roman" w:cs="Times New Roman"/>
                <w:spacing w:val="-2"/>
                <w:sz w:val="18"/>
                <w:szCs w:val="18"/>
                <w:lang w:val="fr-FR"/>
              </w:rPr>
              <w:t xml:space="preserv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Stabilité chimique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lang w:val="fr-FR"/>
              </w:rPr>
              <w:t>Stable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Risque de réactions dangereuses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Conditions à éviter (décharges d’électricité statique, chocs et vibrations)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Aucune</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connue</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Matériaux incompatibles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Matières comburantes; etc.</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Produits de décomposition dangereux</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11. </w:t>
            </w:r>
            <w:r>
              <w:rPr>
                <w:rFonts w:ascii="Times New Roman" w:hAnsi="Times New Roman" w:cs="Times New Roman"/>
                <w:b/>
                <w:color w:val="000000"/>
                <w:sz w:val="20"/>
                <w:szCs w:val="20"/>
              </w:rPr>
              <w:t>Données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Renseignements sur les voies d’exposition probables (par inhalation, orale, cutanée, oculaire)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Symptômes correspondant aux caractéristiques physiques, chimiques et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sz w:val="18"/>
                <w:szCs w:val="18"/>
              </w:rPr>
            </w:pPr>
            <w:r>
              <w:rPr>
                <w:rFonts w:ascii="Times New Roman" w:hAnsi="Times New Roman" w:cs="Times New Roman"/>
                <w:b/>
                <w:iCs/>
                <w:color w:val="000000"/>
                <w:sz w:val="18"/>
                <w:szCs w:val="18"/>
              </w:rPr>
              <w:t>Effets différés et immédiats (effets chroniques causés par une exposition à court et à long terme)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Pr>
                <w:rFonts w:ascii="Times New Roman" w:hAnsi="Times New Roman" w:cs="Times New Roman"/>
                <w:color w:val="000000"/>
                <w:sz w:val="18"/>
                <w:szCs w:val="18"/>
              </w:rPr>
              <w:t>Mutagénicité</w:t>
            </w:r>
            <w:proofErr w:type="spellEnd"/>
            <w:r>
              <w:rPr>
                <w:rFonts w:ascii="Times New Roman" w:hAnsi="Times New Roman" w:cs="Times New Roman"/>
                <w:color w:val="000000"/>
                <w:sz w:val="18"/>
                <w:szCs w:val="18"/>
              </w:rPr>
              <w:t xml:space="preserve"> sur les cellules germinales – Aucune donnée disponible; Cancérogénicité – Aucun ingrédient n’</w:t>
            </w:r>
            <w:r>
              <w:rPr>
                <w:rFonts w:ascii="Times New Roman" w:hAnsi="Times New Roman" w:cs="Times New Roman"/>
                <w:sz w:val="18"/>
                <w:szCs w:val="18"/>
              </w:rPr>
              <w:t>est énuméré par IARC, ACGIH, NTP</w:t>
            </w:r>
            <w:r>
              <w:rPr>
                <w:rFonts w:ascii="Times New Roman" w:hAnsi="Times New Roman" w:cs="Times New Roman"/>
                <w:color w:val="000000"/>
                <w:sz w:val="18"/>
                <w:szCs w:val="18"/>
              </w:rPr>
              <w:t>; Toxicité pour la reproduction – Aucune donnée disponible; Toxicité pour certains organes cibles — exposition unique – Aucune donnée disponible; Toxicité pour certains organes cibles — expositions répétées – Aucune donnée disponible; Danger par aspiration – Aucune donnée disponible. Dangers pour la santé non classifiés ailleurs – Aucune donnée disponible.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Valeurs numériques de toxicité (ETA; DL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 xml:space="preserve"> &amp; CL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w:t>
            </w:r>
          </w:p>
          <w:p w:rsidR="009F242A" w:rsidRDefault="009F242A" w:rsidP="009F242A">
            <w:pPr>
              <w:rPr>
                <w:rFonts w:ascii="Times New Roman" w:hAnsi="Times New Roman" w:cs="Times New Roman"/>
                <w:sz w:val="20"/>
                <w:szCs w:val="20"/>
              </w:rPr>
            </w:pPr>
            <w:r>
              <w:rPr>
                <w:rFonts w:ascii="Times New Roman" w:hAnsi="Times New Roman" w:cs="Times New Roman"/>
                <w:sz w:val="18"/>
                <w:szCs w:val="18"/>
              </w:rPr>
              <w:t>ETA non disponible dans ce document.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12. </w:t>
            </w:r>
            <w:r>
              <w:rPr>
                <w:rFonts w:ascii="Times New Roman" w:hAnsi="Times New Roman" w:cs="Times New Roman"/>
                <w:b/>
                <w:color w:val="000000"/>
                <w:sz w:val="20"/>
                <w:szCs w:val="20"/>
              </w:rPr>
              <w:t>Données écologiques</w:t>
            </w:r>
          </w:p>
        </w:tc>
      </w:tr>
      <w:tr w:rsidR="009F242A" w:rsidTr="005C2CB1">
        <w:tc>
          <w:tcPr>
            <w:tcW w:w="3681" w:type="dxa"/>
            <w:gridSpan w:val="10"/>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Écotoxicité (données aquatique et terrestre)</w:t>
            </w:r>
          </w:p>
        </w:tc>
        <w:tc>
          <w:tcPr>
            <w:tcW w:w="7109"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Persistance et dégradation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Potentiel de bioaccumulation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Mobilité dans le sol</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Autres effets nocifs</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bl>
    <w:p w:rsidR="005C2CB1" w:rsidRDefault="005C2CB1" w:rsidP="005C2CB1"/>
    <w:p w:rsidR="005C2CB1" w:rsidRDefault="005C2CB1" w:rsidP="005C2CB1"/>
    <w:tbl>
      <w:tblPr>
        <w:tblStyle w:val="Grilledutableau"/>
        <w:tblW w:w="0" w:type="auto"/>
        <w:tblLook w:val="04A0" w:firstRow="1" w:lastRow="0" w:firstColumn="1" w:lastColumn="0" w:noHBand="0" w:noVBand="1"/>
      </w:tblPr>
      <w:tblGrid>
        <w:gridCol w:w="1386"/>
        <w:gridCol w:w="2437"/>
        <w:gridCol w:w="567"/>
        <w:gridCol w:w="283"/>
        <w:gridCol w:w="198"/>
        <w:gridCol w:w="887"/>
        <w:gridCol w:w="5032"/>
      </w:tblGrid>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13. </w:t>
            </w:r>
            <w:r>
              <w:rPr>
                <w:rFonts w:ascii="Times New Roman" w:hAnsi="Times New Roman" w:cs="Times New Roman"/>
                <w:b/>
                <w:color w:val="000000"/>
                <w:sz w:val="20"/>
                <w:szCs w:val="20"/>
              </w:rPr>
              <w:t>Données sur l’élimination</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Renseignements sur la manipulation sécuritaire en vue de l’élimination/méthodes d’élimination/emballages contaminés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14. </w:t>
            </w:r>
            <w:r>
              <w:rPr>
                <w:rFonts w:ascii="Times New Roman" w:hAnsi="Times New Roman" w:cs="Times New Roman"/>
                <w:b/>
                <w:color w:val="000000"/>
                <w:sz w:val="20"/>
                <w:szCs w:val="20"/>
              </w:rPr>
              <w:t>Informations relatives au transport</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(appellation réglementaire); Classe(s); Groupe d’emballage (GE) du Règlement TMD</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réglementé</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du Code IMDG (maritime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de l’IATA (aérien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Précautions spéciales (transport/déplacement)</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Aucune</w:t>
            </w:r>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Dangers environnementaux (IMDG ou autre)</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4871" w:type="dxa"/>
            <w:gridSpan w:val="5"/>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Transport en vrac (normalement plus de 450 L en capacité) </w:t>
            </w:r>
          </w:p>
        </w:tc>
        <w:tc>
          <w:tcPr>
            <w:tcW w:w="5919"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Possible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15. </w:t>
            </w:r>
            <w:r>
              <w:rPr>
                <w:rFonts w:ascii="Times New Roman" w:hAnsi="Times New Roman" w:cs="Times New Roman"/>
                <w:b/>
                <w:color w:val="000000"/>
                <w:sz w:val="20"/>
                <w:szCs w:val="20"/>
              </w:rPr>
              <w:t>Informations sur la réglementation</w:t>
            </w:r>
          </w:p>
        </w:tc>
      </w:tr>
      <w:tr w:rsidR="005C2CB1" w:rsidTr="005C2CB1">
        <w:tc>
          <w:tcPr>
            <w:tcW w:w="4390"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la sécurité/santé</w:t>
            </w:r>
          </w:p>
        </w:tc>
        <w:tc>
          <w:tcPr>
            <w:tcW w:w="6400" w:type="dxa"/>
            <w:gridSpan w:val="4"/>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Consulter la Section 2 pour la classification appropriée. </w:t>
            </w:r>
            <w:r>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5C2CB1" w:rsidTr="005C2CB1">
        <w:tc>
          <w:tcPr>
            <w:tcW w:w="4673" w:type="dxa"/>
            <w:gridSpan w:val="4"/>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l’environnement</w:t>
            </w:r>
          </w:p>
        </w:tc>
        <w:tc>
          <w:tcPr>
            <w:tcW w:w="611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Voir Section 3 pour ingrédient(s) de la LIS (DSL)</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étrangère relative à la sécurité/santé/environnement</w:t>
            </w:r>
          </w:p>
        </w:tc>
      </w:tr>
      <w:tr w:rsidR="005C2CB1" w:rsidRPr="00EB3CEA"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HEALTH: 0         FLAMMABILITY: 0          INSTABILITY: 0          SPECIAL HAZARDS: Refer to Section 2 &amp; 3.</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r w:rsidR="000A1C63" w:rsidRPr="00E0611E" w:rsidTr="00613163">
        <w:tc>
          <w:tcPr>
            <w:tcW w:w="10790" w:type="dxa"/>
            <w:gridSpan w:val="7"/>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6"/>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4E0DE4">
            <w:pPr>
              <w:rPr>
                <w:rFonts w:ascii="Times New Roman" w:hAnsi="Times New Roman" w:cs="Times New Roman"/>
                <w:sz w:val="18"/>
                <w:szCs w:val="18"/>
              </w:rPr>
            </w:pPr>
            <w:r>
              <w:rPr>
                <w:rFonts w:ascii="Times New Roman" w:hAnsi="Times New Roman" w:cs="Times New Roman"/>
                <w:sz w:val="18"/>
                <w:szCs w:val="18"/>
              </w:rPr>
              <w:t xml:space="preserve">Le </w:t>
            </w:r>
            <w:r w:rsidR="004E0DE4">
              <w:rPr>
                <w:rFonts w:ascii="Times New Roman" w:hAnsi="Times New Roman" w:cs="Times New Roman"/>
                <w:sz w:val="18"/>
                <w:szCs w:val="18"/>
              </w:rPr>
              <w:t>22 août 2</w:t>
            </w:r>
            <w:r w:rsidR="00414935">
              <w:rPr>
                <w:rFonts w:ascii="Times New Roman" w:hAnsi="Times New Roman" w:cs="Times New Roman"/>
                <w:sz w:val="18"/>
                <w:szCs w:val="18"/>
              </w:rPr>
              <w:t>016</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EB3CEA"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7"/>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6D" w:rsidRDefault="00415B6D" w:rsidP="00F22BEA">
      <w:pPr>
        <w:spacing w:after="0" w:line="240" w:lineRule="auto"/>
      </w:pPr>
      <w:r>
        <w:separator/>
      </w:r>
    </w:p>
  </w:endnote>
  <w:endnote w:type="continuationSeparator" w:id="0">
    <w:p w:rsidR="00415B6D" w:rsidRDefault="00415B6D"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5D41E9" w:rsidRDefault="005D41E9">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D41E9" w:rsidRDefault="005D41E9">
                              <w:pPr>
                                <w:jc w:val="center"/>
                              </w:pPr>
                              <w:r>
                                <w:fldChar w:fldCharType="begin"/>
                              </w:r>
                              <w:r>
                                <w:instrText>PAGE    \* MERGEFORMAT</w:instrText>
                              </w:r>
                              <w:r>
                                <w:fldChar w:fldCharType="separate"/>
                              </w:r>
                              <w:r w:rsidR="001C7E72" w:rsidRPr="001C7E72">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41E9" w:rsidRDefault="005D41E9">
                        <w:pPr>
                          <w:jc w:val="center"/>
                        </w:pPr>
                        <w:r>
                          <w:fldChar w:fldCharType="begin"/>
                        </w:r>
                        <w:r>
                          <w:instrText>PAGE    \* MERGEFORMAT</w:instrText>
                        </w:r>
                        <w:r>
                          <w:fldChar w:fldCharType="separate"/>
                        </w:r>
                        <w:r w:rsidR="001C7E72" w:rsidRPr="001C7E72">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6D" w:rsidRDefault="00415B6D" w:rsidP="00F22BEA">
      <w:pPr>
        <w:spacing w:after="0" w:line="240" w:lineRule="auto"/>
      </w:pPr>
      <w:r>
        <w:separator/>
      </w:r>
    </w:p>
  </w:footnote>
  <w:footnote w:type="continuationSeparator" w:id="0">
    <w:p w:rsidR="00415B6D" w:rsidRDefault="00415B6D"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14D1" w:rsidTr="004614D1">
      <w:tc>
        <w:tcPr>
          <w:tcW w:w="5395" w:type="dxa"/>
        </w:tcPr>
        <w:p w:rsidR="004614D1" w:rsidRPr="0024331D" w:rsidRDefault="0024331D"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4614D1" w:rsidRDefault="004614D1" w:rsidP="004614D1">
          <w:pPr>
            <w:pStyle w:val="En-tte"/>
            <w:jc w:val="right"/>
            <w:rPr>
              <w:rFonts w:ascii="Times New Roman" w:hAnsi="Times New Roman" w:cs="Times New Roman"/>
              <w:sz w:val="16"/>
              <w:szCs w:val="16"/>
            </w:rPr>
          </w:pPr>
          <w:r>
            <w:rPr>
              <w:rFonts w:ascii="Times New Roman" w:hAnsi="Times New Roman" w:cs="Times New Roman"/>
              <w:sz w:val="16"/>
              <w:szCs w:val="16"/>
            </w:rPr>
            <w:t>ID</w:t>
          </w:r>
          <w:r w:rsidR="00362637">
            <w:rPr>
              <w:rFonts w:ascii="Times New Roman" w:hAnsi="Times New Roman" w:cs="Times New Roman"/>
              <w:sz w:val="16"/>
              <w:szCs w:val="16"/>
            </w:rPr>
            <w:t xml:space="preserve">ENTIFICATEUR DE </w:t>
          </w:r>
          <w:r w:rsidR="00BE402C">
            <w:rPr>
              <w:rFonts w:ascii="Times New Roman" w:hAnsi="Times New Roman" w:cs="Times New Roman"/>
              <w:sz w:val="16"/>
              <w:szCs w:val="16"/>
            </w:rPr>
            <w:t xml:space="preserve">PRODUIT – </w:t>
          </w:r>
          <w:r w:rsidR="00CC0B10">
            <w:rPr>
              <w:rFonts w:ascii="Times New Roman" w:hAnsi="Times New Roman" w:cs="Times New Roman"/>
              <w:sz w:val="16"/>
              <w:szCs w:val="16"/>
            </w:rPr>
            <w:t>VERSATILE</w:t>
          </w:r>
        </w:p>
        <w:p w:rsidR="004614D1" w:rsidRDefault="004E0DE4"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w:t>
          </w:r>
          <w:r w:rsidR="0024331D">
            <w:rPr>
              <w:rFonts w:ascii="Times New Roman" w:hAnsi="Times New Roman" w:cs="Times New Roman"/>
              <w:sz w:val="16"/>
              <w:szCs w:val="16"/>
            </w:rPr>
            <w:t xml:space="preserve"> </w:t>
          </w:r>
          <w:r>
            <w:rPr>
              <w:rFonts w:ascii="Times New Roman" w:hAnsi="Times New Roman" w:cs="Times New Roman"/>
              <w:sz w:val="16"/>
              <w:szCs w:val="16"/>
            </w:rPr>
            <w:t>AOÛT</w:t>
          </w:r>
          <w:r w:rsidR="00BE402C">
            <w:rPr>
              <w:rFonts w:ascii="Times New Roman" w:hAnsi="Times New Roman" w:cs="Times New Roman"/>
              <w:sz w:val="16"/>
              <w:szCs w:val="16"/>
            </w:rPr>
            <w:t xml:space="preserve"> 2016</w:t>
          </w:r>
          <w:r w:rsidR="004614D1">
            <w:rPr>
              <w:rFonts w:ascii="Times New Roman" w:hAnsi="Times New Roman" w:cs="Times New Roman"/>
              <w:sz w:val="16"/>
              <w:szCs w:val="16"/>
            </w:rPr>
            <w:t xml:space="preserve"> VERSION 1</w:t>
          </w:r>
        </w:p>
      </w:tc>
    </w:tr>
  </w:tbl>
  <w:p w:rsidR="005D41E9" w:rsidRPr="00BE402C" w:rsidRDefault="005D41E9"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C7E72"/>
    <w:rsid w:val="001E18D6"/>
    <w:rsid w:val="001E579E"/>
    <w:rsid w:val="001F2E4B"/>
    <w:rsid w:val="002045B5"/>
    <w:rsid w:val="00215140"/>
    <w:rsid w:val="00242A25"/>
    <w:rsid w:val="0024331D"/>
    <w:rsid w:val="00270CE4"/>
    <w:rsid w:val="0027114B"/>
    <w:rsid w:val="002B3BEA"/>
    <w:rsid w:val="00302925"/>
    <w:rsid w:val="00303F77"/>
    <w:rsid w:val="00334DF8"/>
    <w:rsid w:val="00362637"/>
    <w:rsid w:val="003657E1"/>
    <w:rsid w:val="003B7248"/>
    <w:rsid w:val="003C0F75"/>
    <w:rsid w:val="004056EF"/>
    <w:rsid w:val="00414935"/>
    <w:rsid w:val="00414B83"/>
    <w:rsid w:val="00415B6D"/>
    <w:rsid w:val="00441FC1"/>
    <w:rsid w:val="004614D1"/>
    <w:rsid w:val="00475BE4"/>
    <w:rsid w:val="00490E23"/>
    <w:rsid w:val="004B4EE0"/>
    <w:rsid w:val="004C2D25"/>
    <w:rsid w:val="004D33C7"/>
    <w:rsid w:val="004E0DE4"/>
    <w:rsid w:val="004F46CA"/>
    <w:rsid w:val="00506F88"/>
    <w:rsid w:val="00517231"/>
    <w:rsid w:val="005228E7"/>
    <w:rsid w:val="005405D7"/>
    <w:rsid w:val="00542BCF"/>
    <w:rsid w:val="00543BF6"/>
    <w:rsid w:val="00574CFD"/>
    <w:rsid w:val="005A7A96"/>
    <w:rsid w:val="005B0758"/>
    <w:rsid w:val="005C2CB1"/>
    <w:rsid w:val="005D41E9"/>
    <w:rsid w:val="005E2F6C"/>
    <w:rsid w:val="00613163"/>
    <w:rsid w:val="00615AF5"/>
    <w:rsid w:val="006202D4"/>
    <w:rsid w:val="00625172"/>
    <w:rsid w:val="00641C65"/>
    <w:rsid w:val="00660BC1"/>
    <w:rsid w:val="0066795A"/>
    <w:rsid w:val="00672F41"/>
    <w:rsid w:val="006808AB"/>
    <w:rsid w:val="00680B0C"/>
    <w:rsid w:val="0068281F"/>
    <w:rsid w:val="006A025B"/>
    <w:rsid w:val="006A06FC"/>
    <w:rsid w:val="006B2D6B"/>
    <w:rsid w:val="006C4735"/>
    <w:rsid w:val="006D10F6"/>
    <w:rsid w:val="006E184D"/>
    <w:rsid w:val="0070299E"/>
    <w:rsid w:val="00706EF0"/>
    <w:rsid w:val="00755878"/>
    <w:rsid w:val="00756A49"/>
    <w:rsid w:val="0077174D"/>
    <w:rsid w:val="007778F3"/>
    <w:rsid w:val="007C452D"/>
    <w:rsid w:val="007D25B1"/>
    <w:rsid w:val="007E6BED"/>
    <w:rsid w:val="007F6EE9"/>
    <w:rsid w:val="007F77C5"/>
    <w:rsid w:val="00847526"/>
    <w:rsid w:val="00854F22"/>
    <w:rsid w:val="00874130"/>
    <w:rsid w:val="008D3A0C"/>
    <w:rsid w:val="008E5245"/>
    <w:rsid w:val="00916A05"/>
    <w:rsid w:val="009514EB"/>
    <w:rsid w:val="00960C8B"/>
    <w:rsid w:val="009774AB"/>
    <w:rsid w:val="00981059"/>
    <w:rsid w:val="009950B1"/>
    <w:rsid w:val="00996BAC"/>
    <w:rsid w:val="009C6AF7"/>
    <w:rsid w:val="009D05C3"/>
    <w:rsid w:val="009F242A"/>
    <w:rsid w:val="00A120E1"/>
    <w:rsid w:val="00A36800"/>
    <w:rsid w:val="00A542FA"/>
    <w:rsid w:val="00A57B83"/>
    <w:rsid w:val="00A77EDE"/>
    <w:rsid w:val="00A86850"/>
    <w:rsid w:val="00A91E8F"/>
    <w:rsid w:val="00AE67F1"/>
    <w:rsid w:val="00AF45F0"/>
    <w:rsid w:val="00AF6CBB"/>
    <w:rsid w:val="00B128EB"/>
    <w:rsid w:val="00B17577"/>
    <w:rsid w:val="00B21175"/>
    <w:rsid w:val="00B31E64"/>
    <w:rsid w:val="00B37249"/>
    <w:rsid w:val="00B539E6"/>
    <w:rsid w:val="00B54882"/>
    <w:rsid w:val="00B83F88"/>
    <w:rsid w:val="00B900B5"/>
    <w:rsid w:val="00BA20FF"/>
    <w:rsid w:val="00BB5175"/>
    <w:rsid w:val="00BC3330"/>
    <w:rsid w:val="00BC4B95"/>
    <w:rsid w:val="00BE402C"/>
    <w:rsid w:val="00BF6359"/>
    <w:rsid w:val="00C3402D"/>
    <w:rsid w:val="00CA3B1E"/>
    <w:rsid w:val="00CB1D7D"/>
    <w:rsid w:val="00CC0B10"/>
    <w:rsid w:val="00CD0566"/>
    <w:rsid w:val="00CD2102"/>
    <w:rsid w:val="00CE2D2A"/>
    <w:rsid w:val="00D12A5D"/>
    <w:rsid w:val="00D13B05"/>
    <w:rsid w:val="00D30E8D"/>
    <w:rsid w:val="00D30FBB"/>
    <w:rsid w:val="00D36E56"/>
    <w:rsid w:val="00D47CCC"/>
    <w:rsid w:val="00D8341D"/>
    <w:rsid w:val="00D942EC"/>
    <w:rsid w:val="00DB4D02"/>
    <w:rsid w:val="00DD0E89"/>
    <w:rsid w:val="00DE6117"/>
    <w:rsid w:val="00E034C4"/>
    <w:rsid w:val="00E0611E"/>
    <w:rsid w:val="00E14799"/>
    <w:rsid w:val="00E43826"/>
    <w:rsid w:val="00E77499"/>
    <w:rsid w:val="00E82BDC"/>
    <w:rsid w:val="00E853AE"/>
    <w:rsid w:val="00E92B5C"/>
    <w:rsid w:val="00EB3CEA"/>
    <w:rsid w:val="00ED4150"/>
    <w:rsid w:val="00ED7FE3"/>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2138</Words>
  <Characters>11760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6</cp:revision>
  <cp:lastPrinted>2015-05-18T23:30:00Z</cp:lastPrinted>
  <dcterms:created xsi:type="dcterms:W3CDTF">2016-08-24T14:01:00Z</dcterms:created>
  <dcterms:modified xsi:type="dcterms:W3CDTF">2016-10-04T18:14:00Z</dcterms:modified>
</cp:coreProperties>
</file>